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240DC">
      <w:pPr>
        <w:rPr>
          <w:rFonts w:ascii="黑体" w:hAnsi="黑体" w:eastAsia="黑体" w:cs="黑体"/>
          <w:b/>
          <w:color w:val="212529"/>
          <w:sz w:val="32"/>
          <w:szCs w:val="32"/>
        </w:rPr>
      </w:pPr>
      <w:r>
        <w:rPr>
          <w:rFonts w:hint="eastAsia" w:ascii="黑体" w:hAnsi="黑体" w:eastAsia="黑体" w:cs="黑体"/>
          <w:b/>
          <w:color w:val="212529"/>
          <w:sz w:val="32"/>
          <w:szCs w:val="32"/>
        </w:rPr>
        <w:t>附件3：</w:t>
      </w:r>
    </w:p>
    <w:p w14:paraId="74E6D548">
      <w:pPr>
        <w:jc w:val="center"/>
        <w:rPr>
          <w:rFonts w:ascii="黑体" w:hAnsi="黑体" w:eastAsia="黑体" w:cs="黑体"/>
          <w:b/>
          <w:color w:val="212529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/>
          <w:color w:val="212529"/>
          <w:sz w:val="32"/>
          <w:szCs w:val="32"/>
        </w:rPr>
        <w:t>2025-2026年度职业教育一般课题研究指南</w:t>
      </w:r>
      <w:bookmarkEnd w:id="0"/>
    </w:p>
    <w:p w14:paraId="64780C54">
      <w:pPr>
        <w:jc w:val="center"/>
        <w:rPr>
          <w:rFonts w:ascii="Times New Roman" w:hAnsi="Times New Roman" w:eastAsia="仿宋_GB2312"/>
          <w:b/>
          <w:color w:val="212529"/>
          <w:sz w:val="32"/>
          <w:szCs w:val="32"/>
        </w:rPr>
      </w:pPr>
    </w:p>
    <w:p w14:paraId="6425F7A5">
      <w:pPr>
        <w:ind w:firstLine="560"/>
        <w:rPr>
          <w:rFonts w:ascii="仿宋_GB2312" w:hAnsi="Times New Roman" w:eastAsia="仿宋_GB2312"/>
          <w:color w:val="212529"/>
          <w:sz w:val="28"/>
          <w:szCs w:val="28"/>
        </w:rPr>
      </w:pPr>
      <w:r>
        <w:rPr>
          <w:rFonts w:ascii="仿宋_GB2312" w:hAnsi="Times New Roman" w:eastAsia="仿宋_GB2312"/>
          <w:color w:val="212529"/>
          <w:sz w:val="28"/>
          <w:szCs w:val="28"/>
        </w:rPr>
        <w:t>1.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职业教育综合研究。包括</w:t>
      </w:r>
      <w:r>
        <w:rPr>
          <w:rFonts w:ascii="仿宋_GB2312" w:hAnsi="Times New Roman" w:eastAsia="仿宋_GB2312"/>
          <w:color w:val="212529"/>
          <w:sz w:val="28"/>
          <w:szCs w:val="28"/>
        </w:rPr>
        <w:t>职业教育治理体系和治理能力现代化建设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、</w:t>
      </w:r>
      <w:r>
        <w:rPr>
          <w:rFonts w:ascii="仿宋_GB2312" w:hAnsi="Times New Roman" w:eastAsia="仿宋_GB2312"/>
          <w:color w:val="212529"/>
          <w:sz w:val="28"/>
          <w:szCs w:val="28"/>
        </w:rPr>
        <w:t>产教融合的政策发展与实践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、产教融合“大思政课”建设、职业院校家校社协同育人机制、</w:t>
      </w:r>
      <w:r>
        <w:rPr>
          <w:rFonts w:ascii="仿宋_GB2312" w:hAnsi="Times New Roman" w:eastAsia="仿宋_GB2312"/>
          <w:color w:val="212529"/>
          <w:sz w:val="28"/>
          <w:szCs w:val="28"/>
        </w:rPr>
        <w:t>职业教育“五金”建设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、</w:t>
      </w:r>
      <w:r>
        <w:rPr>
          <w:rFonts w:ascii="仿宋_GB2312" w:hAnsi="Times New Roman" w:eastAsia="仿宋_GB2312"/>
          <w:color w:val="212529"/>
          <w:sz w:val="28"/>
          <w:szCs w:val="28"/>
        </w:rPr>
        <w:t>高职院校“新双高”建设的示范引领机制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等的研究与实践。</w:t>
      </w:r>
    </w:p>
    <w:p w14:paraId="547D15DB">
      <w:pPr>
        <w:ind w:firstLine="560"/>
        <w:rPr>
          <w:rFonts w:ascii="仿宋_GB2312" w:hAnsi="Times New Roman" w:eastAsia="仿宋_GB2312"/>
          <w:color w:val="212529"/>
          <w:sz w:val="28"/>
          <w:szCs w:val="28"/>
        </w:rPr>
      </w:pPr>
      <w:r>
        <w:rPr>
          <w:rFonts w:ascii="仿宋_GB2312" w:hAnsi="Times New Roman" w:eastAsia="仿宋_GB2312"/>
          <w:color w:val="212529"/>
          <w:sz w:val="28"/>
          <w:szCs w:val="28"/>
        </w:rPr>
        <w:t>2.职业教育专业建设研究与实践。包括“双高计划”专业建设、职教本科专业建设、服务产业需求的高职院校专业群建设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、</w:t>
      </w:r>
      <w:r>
        <w:rPr>
          <w:rFonts w:ascii="仿宋_GB2312" w:hAnsi="Times New Roman" w:eastAsia="仿宋_GB2312"/>
          <w:color w:val="212529"/>
          <w:sz w:val="28"/>
          <w:szCs w:val="28"/>
        </w:rPr>
        <w:t>教学资源库建设、国际化等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方向</w:t>
      </w:r>
      <w:r>
        <w:rPr>
          <w:rFonts w:ascii="仿宋_GB2312" w:hAnsi="Times New Roman" w:eastAsia="仿宋_GB2312"/>
          <w:color w:val="212529"/>
          <w:sz w:val="28"/>
          <w:szCs w:val="28"/>
        </w:rPr>
        <w:t>研究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。</w:t>
      </w:r>
    </w:p>
    <w:p w14:paraId="78628C1A">
      <w:pPr>
        <w:ind w:firstLine="560" w:firstLineChars="200"/>
        <w:rPr>
          <w:rFonts w:ascii="仿宋_GB2312" w:hAnsi="Times New Roman" w:eastAsia="仿宋_GB2312"/>
          <w:color w:val="212529"/>
          <w:sz w:val="28"/>
          <w:szCs w:val="28"/>
        </w:rPr>
      </w:pPr>
      <w:r>
        <w:rPr>
          <w:rFonts w:ascii="仿宋_GB2312" w:hAnsi="Times New Roman" w:eastAsia="仿宋_GB2312"/>
          <w:color w:val="212529"/>
          <w:sz w:val="28"/>
          <w:szCs w:val="28"/>
        </w:rPr>
        <w:t>3.职业教育人才培养研究与实践。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包括校企协同育人机制创新、中国特色学徒制深化研究、</w:t>
      </w:r>
      <w:r>
        <w:rPr>
          <w:rFonts w:ascii="仿宋_GB2312" w:hAnsi="Times New Roman" w:eastAsia="仿宋_GB2312"/>
          <w:color w:val="212529"/>
          <w:sz w:val="28"/>
          <w:szCs w:val="28"/>
        </w:rPr>
        <w:t>服务“海丝”核心区建设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的</w:t>
      </w:r>
      <w:r>
        <w:rPr>
          <w:rFonts w:ascii="仿宋_GB2312" w:hAnsi="Times New Roman" w:eastAsia="仿宋_GB2312"/>
          <w:color w:val="212529"/>
          <w:sz w:val="28"/>
          <w:szCs w:val="28"/>
        </w:rPr>
        <w:t>区域特色化人才培养模式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、本科层次职业教育与高职</w:t>
      </w:r>
      <w:r>
        <w:rPr>
          <w:rFonts w:ascii="仿宋_GB2312" w:hAnsi="Times New Roman" w:eastAsia="仿宋_GB2312"/>
          <w:color w:val="212529"/>
          <w:sz w:val="28"/>
          <w:szCs w:val="28"/>
        </w:rPr>
        <w:t>/应用型本科人才培养模式差异性对比、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学生心理健康与职业适应力提升、学生核心素养与职业能力融合培养、学生数字素养提升策略等，</w:t>
      </w:r>
      <w:r>
        <w:rPr>
          <w:rFonts w:ascii="仿宋_GB2312" w:hAnsi="Times New Roman" w:eastAsia="仿宋_GB2312"/>
          <w:color w:val="212529"/>
          <w:sz w:val="28"/>
          <w:szCs w:val="28"/>
        </w:rPr>
        <w:t>以及终身学习体系构建等方向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的研究与实践。</w:t>
      </w:r>
    </w:p>
    <w:p w14:paraId="5F36CA3A">
      <w:pPr>
        <w:ind w:firstLine="560" w:firstLineChars="200"/>
        <w:rPr>
          <w:rFonts w:ascii="仿宋_GB2312" w:hAnsi="Times New Roman" w:eastAsia="仿宋_GB2312"/>
          <w:color w:val="212529"/>
          <w:sz w:val="28"/>
          <w:szCs w:val="28"/>
        </w:rPr>
      </w:pPr>
      <w:r>
        <w:rPr>
          <w:rFonts w:hint="eastAsia" w:ascii="仿宋_GB2312" w:hAnsi="Times New Roman" w:eastAsia="仿宋_GB2312"/>
          <w:color w:val="212529"/>
          <w:sz w:val="28"/>
          <w:szCs w:val="28"/>
        </w:rPr>
        <w:t>4</w:t>
      </w:r>
      <w:r>
        <w:rPr>
          <w:rFonts w:ascii="仿宋_GB2312" w:hAnsi="Times New Roman" w:eastAsia="仿宋_GB2312"/>
          <w:color w:val="212529"/>
          <w:sz w:val="28"/>
          <w:szCs w:val="28"/>
        </w:rPr>
        <w:t>.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职业</w:t>
      </w:r>
      <w:r>
        <w:rPr>
          <w:rFonts w:ascii="仿宋_GB2312" w:hAnsi="Times New Roman" w:eastAsia="仿宋_GB2312"/>
          <w:color w:val="212529"/>
          <w:sz w:val="28"/>
          <w:szCs w:val="28"/>
        </w:rPr>
        <w:t>教育教学改革研究与实践。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包括产业创新视角下职业教育课程体系改革、</w:t>
      </w:r>
      <w:r>
        <w:rPr>
          <w:rFonts w:ascii="仿宋_GB2312" w:hAnsi="Times New Roman" w:eastAsia="仿宋_GB2312"/>
          <w:color w:val="212529"/>
          <w:sz w:val="28"/>
          <w:szCs w:val="28"/>
        </w:rPr>
        <w:t>专业课程理论与实践教学一体化改革与实践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、</w:t>
      </w:r>
      <w:r>
        <w:rPr>
          <w:rFonts w:ascii="仿宋_GB2312" w:hAnsi="Times New Roman" w:eastAsia="仿宋_GB2312"/>
          <w:color w:val="212529"/>
          <w:sz w:val="28"/>
          <w:szCs w:val="28"/>
        </w:rPr>
        <w:t>混合式教学模式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与案例、人工智能赋能构建“师生机”教学新生态、基于智能体的教学模式与</w:t>
      </w:r>
      <w:r>
        <w:rPr>
          <w:rFonts w:ascii="仿宋_GB2312" w:hAnsi="Times New Roman" w:eastAsia="仿宋_GB2312"/>
          <w:color w:val="212529"/>
          <w:sz w:val="28"/>
          <w:szCs w:val="28"/>
        </w:rPr>
        <w:t>案例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、</w:t>
      </w:r>
      <w:r>
        <w:rPr>
          <w:rFonts w:ascii="仿宋_GB2312" w:hAnsi="Times New Roman" w:eastAsia="仿宋_GB2312"/>
          <w:color w:val="212529"/>
          <w:sz w:val="28"/>
          <w:szCs w:val="28"/>
        </w:rPr>
        <w:t>顶岗实习管理创新案例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、</w:t>
      </w:r>
      <w:r>
        <w:rPr>
          <w:rFonts w:ascii="仿宋_GB2312" w:hAnsi="Times New Roman" w:eastAsia="仿宋_GB2312"/>
          <w:color w:val="212529"/>
          <w:sz w:val="28"/>
          <w:szCs w:val="28"/>
        </w:rPr>
        <w:t>实训教学体系改革与创新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、</w:t>
      </w:r>
      <w:r>
        <w:rPr>
          <w:rFonts w:ascii="仿宋_GB2312" w:hAnsi="Times New Roman" w:eastAsia="仿宋_GB2312"/>
          <w:color w:val="212529"/>
          <w:sz w:val="28"/>
          <w:szCs w:val="28"/>
        </w:rPr>
        <w:t>优质教学资源库建设与共享机制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、</w:t>
      </w:r>
      <w:r>
        <w:rPr>
          <w:rFonts w:ascii="仿宋_GB2312" w:hAnsi="Times New Roman" w:eastAsia="仿宋_GB2312"/>
          <w:color w:val="212529"/>
          <w:sz w:val="28"/>
          <w:szCs w:val="28"/>
        </w:rPr>
        <w:t>基于“四个评价”的职业院校教育评价机制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、</w:t>
      </w:r>
      <w:r>
        <w:rPr>
          <w:rFonts w:ascii="仿宋_GB2312" w:hAnsi="Times New Roman" w:eastAsia="仿宋_GB2312"/>
          <w:color w:val="212529"/>
          <w:sz w:val="28"/>
          <w:szCs w:val="28"/>
        </w:rPr>
        <w:t>教师教学档案袋评价制度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、</w:t>
      </w:r>
      <w:r>
        <w:rPr>
          <w:rFonts w:ascii="仿宋_GB2312" w:hAnsi="Times New Roman" w:eastAsia="仿宋_GB2312"/>
          <w:color w:val="212529"/>
          <w:sz w:val="28"/>
          <w:szCs w:val="28"/>
        </w:rPr>
        <w:t>产教融合虚拟教研室制度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等方向的</w:t>
      </w:r>
      <w:r>
        <w:rPr>
          <w:rFonts w:ascii="仿宋_GB2312" w:hAnsi="Times New Roman" w:eastAsia="仿宋_GB2312"/>
          <w:color w:val="212529"/>
          <w:sz w:val="28"/>
          <w:szCs w:val="28"/>
        </w:rPr>
        <w:t>研究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与实践。</w:t>
      </w:r>
    </w:p>
    <w:p w14:paraId="114DC0E6">
      <w:pPr>
        <w:ind w:firstLine="560" w:firstLineChars="200"/>
        <w:rPr>
          <w:rFonts w:ascii="仿宋_GB2312" w:hAnsi="Times New Roman" w:eastAsia="仿宋_GB2312"/>
          <w:color w:val="212529"/>
          <w:sz w:val="28"/>
          <w:szCs w:val="28"/>
        </w:rPr>
      </w:pPr>
      <w:r>
        <w:rPr>
          <w:rFonts w:hint="eastAsia" w:ascii="仿宋_GB2312" w:hAnsi="Times New Roman" w:eastAsia="仿宋_GB2312"/>
          <w:color w:val="212529"/>
          <w:sz w:val="28"/>
          <w:szCs w:val="28"/>
        </w:rPr>
        <w:t>5</w:t>
      </w:r>
      <w:r>
        <w:rPr>
          <w:rFonts w:ascii="仿宋_GB2312" w:hAnsi="Times New Roman" w:eastAsia="仿宋_GB2312"/>
          <w:color w:val="212529"/>
          <w:sz w:val="28"/>
          <w:szCs w:val="28"/>
        </w:rPr>
        <w:t>.职业教育课程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与教材建设</w:t>
      </w:r>
      <w:r>
        <w:rPr>
          <w:rFonts w:ascii="仿宋_GB2312" w:hAnsi="Times New Roman" w:eastAsia="仿宋_GB2312"/>
          <w:color w:val="212529"/>
          <w:sz w:val="28"/>
          <w:szCs w:val="28"/>
        </w:rPr>
        <w:t>研究与实践。包括思政课程、课程思政、美育课程、劳动课程、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心理健康课程、</w:t>
      </w:r>
      <w:r>
        <w:rPr>
          <w:rFonts w:ascii="仿宋_GB2312" w:hAnsi="Times New Roman" w:eastAsia="仿宋_GB2312"/>
          <w:color w:val="212529"/>
          <w:sz w:val="28"/>
          <w:szCs w:val="28"/>
        </w:rPr>
        <w:t>职普融通课程、中高本一体化课程、在线开放课程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、混合式课程、智慧课程</w:t>
      </w:r>
      <w:r>
        <w:rPr>
          <w:rFonts w:ascii="仿宋_GB2312" w:hAnsi="Times New Roman" w:eastAsia="仿宋_GB2312"/>
          <w:color w:val="212529"/>
          <w:sz w:val="28"/>
          <w:szCs w:val="28"/>
        </w:rPr>
        <w:t>等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，以及</w:t>
      </w:r>
      <w:r>
        <w:rPr>
          <w:rFonts w:ascii="仿宋_GB2312" w:hAnsi="Times New Roman" w:eastAsia="仿宋_GB2312"/>
          <w:color w:val="212529"/>
          <w:sz w:val="28"/>
          <w:szCs w:val="28"/>
        </w:rPr>
        <w:t>新型活页式教材、工作手册式教材、融媒体教材、数字教材等各类新形态教材建设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与应用等</w:t>
      </w:r>
      <w:r>
        <w:rPr>
          <w:rFonts w:ascii="仿宋_GB2312" w:hAnsi="Times New Roman" w:eastAsia="仿宋_GB2312"/>
          <w:color w:val="212529"/>
          <w:sz w:val="28"/>
          <w:szCs w:val="28"/>
        </w:rPr>
        <w:t>。</w:t>
      </w:r>
    </w:p>
    <w:p w14:paraId="3F7DB735">
      <w:pPr>
        <w:ind w:firstLine="560"/>
        <w:rPr>
          <w:rFonts w:ascii="仿宋_GB2312" w:hAnsi="Times New Roman" w:eastAsia="仿宋_GB2312"/>
          <w:color w:val="212529"/>
          <w:sz w:val="28"/>
          <w:szCs w:val="28"/>
        </w:rPr>
      </w:pPr>
      <w:r>
        <w:rPr>
          <w:rFonts w:ascii="仿宋_GB2312" w:hAnsi="Times New Roman" w:eastAsia="仿宋_GB2312"/>
          <w:color w:val="212529"/>
          <w:sz w:val="28"/>
          <w:szCs w:val="28"/>
        </w:rPr>
        <w:t>6.职业教育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教师发展与学生学习研究。</w:t>
      </w:r>
      <w:r>
        <w:rPr>
          <w:rFonts w:ascii="仿宋_GB2312" w:hAnsi="Times New Roman" w:eastAsia="仿宋_GB2312"/>
          <w:color w:val="212529"/>
          <w:sz w:val="28"/>
          <w:szCs w:val="28"/>
        </w:rPr>
        <w:t>包括“双师型”教师、校企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协同</w:t>
      </w:r>
      <w:r>
        <w:rPr>
          <w:rFonts w:ascii="仿宋_GB2312" w:hAnsi="Times New Roman" w:eastAsia="仿宋_GB2312"/>
          <w:color w:val="212529"/>
          <w:sz w:val="28"/>
          <w:szCs w:val="28"/>
        </w:rPr>
        <w:t>教研科研团队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、</w:t>
      </w:r>
      <w:r>
        <w:rPr>
          <w:rFonts w:ascii="仿宋_GB2312" w:hAnsi="Times New Roman" w:eastAsia="仿宋_GB2312"/>
          <w:color w:val="212529"/>
          <w:sz w:val="28"/>
          <w:szCs w:val="28"/>
        </w:rPr>
        <w:t>就业指导、教师数字素养、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教师能力（含信息化教学能力、科研、社会服务胜任力）、</w:t>
      </w:r>
      <w:r>
        <w:rPr>
          <w:rFonts w:ascii="仿宋_GB2312" w:hAnsi="Times New Roman" w:eastAsia="仿宋_GB2312"/>
          <w:color w:val="212529"/>
          <w:sz w:val="28"/>
          <w:szCs w:val="28"/>
        </w:rPr>
        <w:t>班主任工作室建设、名师工作室建设、师德师风建设等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，以及学生数字职业素养培育、</w:t>
      </w:r>
      <w:r>
        <w:rPr>
          <w:rFonts w:ascii="仿宋_GB2312" w:hAnsi="Times New Roman" w:eastAsia="仿宋_GB2312"/>
          <w:color w:val="212529"/>
          <w:sz w:val="28"/>
          <w:szCs w:val="28"/>
        </w:rPr>
        <w:t>“Z时代”学生学情特点与对策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、</w:t>
      </w:r>
      <w:r>
        <w:rPr>
          <w:rFonts w:ascii="仿宋_GB2312" w:hAnsi="Times New Roman" w:eastAsia="仿宋_GB2312"/>
          <w:color w:val="212529"/>
          <w:sz w:val="28"/>
          <w:szCs w:val="28"/>
        </w:rPr>
        <w:t>信息技术环境下学生深度学习的促进策略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、学生混合式学习适应度、</w:t>
      </w:r>
      <w:r>
        <w:rPr>
          <w:rFonts w:ascii="仿宋_GB2312" w:hAnsi="Times New Roman" w:eastAsia="仿宋_GB2312"/>
          <w:color w:val="212529"/>
          <w:sz w:val="28"/>
          <w:szCs w:val="28"/>
        </w:rPr>
        <w:t>学生“德智体美劳”评价指标体系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、</w:t>
      </w:r>
      <w:r>
        <w:rPr>
          <w:rFonts w:ascii="仿宋_GB2312" w:hAnsi="Times New Roman" w:eastAsia="仿宋_GB2312"/>
          <w:color w:val="212529"/>
          <w:sz w:val="28"/>
          <w:szCs w:val="28"/>
        </w:rPr>
        <w:t>课程思政推动学生素质提升的增值评价指标体系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等方面的</w:t>
      </w:r>
      <w:r>
        <w:rPr>
          <w:rFonts w:ascii="仿宋_GB2312" w:hAnsi="Times New Roman" w:eastAsia="仿宋_GB2312"/>
          <w:color w:val="212529"/>
          <w:sz w:val="28"/>
          <w:szCs w:val="28"/>
        </w:rPr>
        <w:t>研究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与实践。</w:t>
      </w:r>
    </w:p>
    <w:p w14:paraId="3CE73481">
      <w:pPr>
        <w:ind w:firstLine="560" w:firstLineChars="200"/>
        <w:rPr>
          <w:rFonts w:hint="eastAsia" w:eastAsia="仿宋_GB2312"/>
          <w:lang w:eastAsia="zh-CN"/>
        </w:rPr>
      </w:pPr>
      <w:r>
        <w:rPr>
          <w:rFonts w:ascii="仿宋_GB2312" w:hAnsi="Times New Roman" w:eastAsia="仿宋_GB2312"/>
          <w:color w:val="212529"/>
          <w:sz w:val="28"/>
          <w:szCs w:val="28"/>
        </w:rPr>
        <w:t>7.</w:t>
      </w:r>
      <w:r>
        <w:rPr>
          <w:rFonts w:hint="eastAsia" w:ascii="仿宋_GB2312" w:hAnsi="Times New Roman" w:eastAsia="仿宋_GB2312"/>
          <w:color w:val="212529"/>
          <w:sz w:val="28"/>
          <w:szCs w:val="28"/>
        </w:rPr>
        <w:t>其他有价值的职业教育相关方向的选题</w:t>
      </w:r>
      <w:r>
        <w:rPr>
          <w:rFonts w:hint="eastAsia" w:ascii="仿宋_GB2312" w:hAnsi="Times New Roman" w:eastAsia="仿宋_GB2312"/>
          <w:color w:val="212529"/>
          <w:sz w:val="28"/>
          <w:szCs w:val="28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D80DA0"/>
    <w:rsid w:val="464E704D"/>
    <w:rsid w:val="78D8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2025-12-08T00:47:00Z</dcterms:created>
  <dc:creator>Administrator</dc:creator>
  <cp:lastModifiedBy>Administrator</cp:lastModifiedBy>
  <dcterms:modified xsi:type="dcterms:W3CDTF">2025-12-08T00:47:36Z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151D1FE219AB4FFEB2E29F070C00976C_11</vt:lpwstr>
  </property>
  <property fmtid="{D5CDD505-2E9C-101B-9397-08002B2CF9AE}" pid="4" name="KSOTemplateDocerSaveRecord">
    <vt:lpwstr>eyJoZGlkIjoiM2YzZTY1OTZhNmQxMDQ3MTNlMjAzNTdhNGQ4NTZmMTIiLCJ1c2VySWQiOiIzMjkxNjY0NjQifQ==</vt:lpwstr>
  </property>
</Properties>
</file>