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E294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9" w:firstLineChars="31"/>
        <w:textAlignment w:val="auto"/>
        <w:rPr>
          <w:rFonts w:hint="default" w:ascii="Times New Roman" w:hAnsi="Times New Roman" w:eastAsia="黑体" w:cs="Times New Roman"/>
          <w:b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</w:p>
    <w:p w14:paraId="615271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福建省职业教育优秀论文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推荐汇总表</w:t>
      </w:r>
    </w:p>
    <w:bookmarkEnd w:id="0"/>
    <w:p w14:paraId="79BF1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</w:pPr>
    </w:p>
    <w:p w14:paraId="7DDCC3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  <w:lang w:eastAsia="zh-CN"/>
        </w:rPr>
        <w:t>推荐单位（加盖公章）：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 xml:space="preserve">               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851"/>
        <w:gridCol w:w="2470"/>
        <w:gridCol w:w="2375"/>
        <w:gridCol w:w="2550"/>
        <w:gridCol w:w="2690"/>
        <w:gridCol w:w="1510"/>
      </w:tblGrid>
      <w:tr w14:paraId="29EF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0" w:type="auto"/>
            <w:noWrap w:val="0"/>
            <w:vAlign w:val="center"/>
          </w:tcPr>
          <w:p w14:paraId="34587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51" w:type="dxa"/>
            <w:noWrap w:val="0"/>
            <w:vAlign w:val="center"/>
          </w:tcPr>
          <w:p w14:paraId="036421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  <w:t>选题方向</w:t>
            </w:r>
          </w:p>
        </w:tc>
        <w:tc>
          <w:tcPr>
            <w:tcW w:w="2470" w:type="dxa"/>
            <w:noWrap w:val="0"/>
            <w:vAlign w:val="center"/>
          </w:tcPr>
          <w:p w14:paraId="537C9E2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  <w:t>研究分类</w:t>
            </w:r>
          </w:p>
        </w:tc>
        <w:tc>
          <w:tcPr>
            <w:tcW w:w="2375" w:type="dxa"/>
            <w:noWrap w:val="0"/>
            <w:vAlign w:val="center"/>
          </w:tcPr>
          <w:p w14:paraId="175D33C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  <w:t>学科（专业大类）</w:t>
            </w:r>
          </w:p>
        </w:tc>
        <w:tc>
          <w:tcPr>
            <w:tcW w:w="2550" w:type="dxa"/>
            <w:noWrap w:val="0"/>
            <w:vAlign w:val="center"/>
          </w:tcPr>
          <w:p w14:paraId="244ED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论文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  <w:t>题目</w:t>
            </w:r>
          </w:p>
        </w:tc>
        <w:tc>
          <w:tcPr>
            <w:tcW w:w="2690" w:type="dxa"/>
            <w:noWrap w:val="0"/>
            <w:vAlign w:val="center"/>
          </w:tcPr>
          <w:p w14:paraId="6C23F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1510" w:type="dxa"/>
            <w:noWrap w:val="0"/>
            <w:vAlign w:val="center"/>
          </w:tcPr>
          <w:p w14:paraId="09980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号码</w:t>
            </w:r>
          </w:p>
        </w:tc>
      </w:tr>
      <w:tr w14:paraId="41DA2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noWrap w:val="0"/>
            <w:vAlign w:val="center"/>
          </w:tcPr>
          <w:p w14:paraId="04A74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51" w:type="dxa"/>
            <w:noWrap w:val="0"/>
            <w:vAlign w:val="center"/>
          </w:tcPr>
          <w:p w14:paraId="083BD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见注1</w:t>
            </w:r>
          </w:p>
        </w:tc>
        <w:tc>
          <w:tcPr>
            <w:tcW w:w="2470" w:type="dxa"/>
            <w:noWrap w:val="0"/>
            <w:vAlign w:val="center"/>
          </w:tcPr>
          <w:p w14:paraId="781A4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见注2</w:t>
            </w:r>
          </w:p>
        </w:tc>
        <w:tc>
          <w:tcPr>
            <w:tcW w:w="2375" w:type="dxa"/>
            <w:noWrap w:val="0"/>
            <w:vAlign w:val="center"/>
          </w:tcPr>
          <w:p w14:paraId="2858C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见注3</w:t>
            </w:r>
          </w:p>
        </w:tc>
        <w:tc>
          <w:tcPr>
            <w:tcW w:w="2550" w:type="dxa"/>
            <w:noWrap w:val="0"/>
            <w:vAlign w:val="center"/>
          </w:tcPr>
          <w:p w14:paraId="2BAED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填写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文章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完整题目（含副标题），勿使用书名号</w:t>
            </w:r>
          </w:p>
        </w:tc>
        <w:tc>
          <w:tcPr>
            <w:tcW w:w="2690" w:type="dxa"/>
            <w:noWrap w:val="0"/>
            <w:vAlign w:val="center"/>
          </w:tcPr>
          <w:p w14:paraId="288F0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如有多位作者，依照论文署名第一、二、三作者排序</w:t>
            </w:r>
          </w:p>
        </w:tc>
        <w:tc>
          <w:tcPr>
            <w:tcW w:w="1510" w:type="dxa"/>
            <w:noWrap w:val="0"/>
            <w:vAlign w:val="center"/>
          </w:tcPr>
          <w:p w14:paraId="04032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3ED67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noWrap w:val="0"/>
            <w:vAlign w:val="center"/>
          </w:tcPr>
          <w:p w14:paraId="32A81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51" w:type="dxa"/>
            <w:noWrap w:val="0"/>
            <w:vAlign w:val="center"/>
          </w:tcPr>
          <w:p w14:paraId="5B95D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noWrap w:val="0"/>
            <w:vAlign w:val="center"/>
          </w:tcPr>
          <w:p w14:paraId="0A716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5" w:type="dxa"/>
            <w:noWrap w:val="0"/>
            <w:vAlign w:val="center"/>
          </w:tcPr>
          <w:p w14:paraId="60B95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noWrap w:val="0"/>
            <w:vAlign w:val="center"/>
          </w:tcPr>
          <w:p w14:paraId="5C450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noWrap w:val="0"/>
            <w:vAlign w:val="center"/>
          </w:tcPr>
          <w:p w14:paraId="3D40F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3BA58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1105B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noWrap w:val="0"/>
            <w:vAlign w:val="center"/>
          </w:tcPr>
          <w:p w14:paraId="5B325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51" w:type="dxa"/>
            <w:noWrap w:val="0"/>
            <w:vAlign w:val="center"/>
          </w:tcPr>
          <w:p w14:paraId="4A314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noWrap w:val="0"/>
            <w:vAlign w:val="center"/>
          </w:tcPr>
          <w:p w14:paraId="14118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5" w:type="dxa"/>
            <w:noWrap w:val="0"/>
            <w:vAlign w:val="center"/>
          </w:tcPr>
          <w:p w14:paraId="53D31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noWrap w:val="0"/>
            <w:vAlign w:val="center"/>
          </w:tcPr>
          <w:p w14:paraId="13750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noWrap w:val="0"/>
            <w:vAlign w:val="center"/>
          </w:tcPr>
          <w:p w14:paraId="640C1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03B25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432DB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noWrap w:val="0"/>
            <w:vAlign w:val="center"/>
          </w:tcPr>
          <w:p w14:paraId="795DC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51" w:type="dxa"/>
            <w:noWrap w:val="0"/>
            <w:vAlign w:val="center"/>
          </w:tcPr>
          <w:p w14:paraId="0A8B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noWrap w:val="0"/>
            <w:vAlign w:val="center"/>
          </w:tcPr>
          <w:p w14:paraId="5EF7B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5" w:type="dxa"/>
            <w:noWrap w:val="0"/>
            <w:vAlign w:val="center"/>
          </w:tcPr>
          <w:p w14:paraId="065DE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noWrap w:val="0"/>
            <w:vAlign w:val="center"/>
          </w:tcPr>
          <w:p w14:paraId="49292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noWrap w:val="0"/>
            <w:vAlign w:val="center"/>
          </w:tcPr>
          <w:p w14:paraId="6F920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306DB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030A1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noWrap w:val="0"/>
            <w:vAlign w:val="center"/>
          </w:tcPr>
          <w:p w14:paraId="4D58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51" w:type="dxa"/>
            <w:noWrap w:val="0"/>
            <w:vAlign w:val="center"/>
          </w:tcPr>
          <w:p w14:paraId="36A44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noWrap w:val="0"/>
            <w:vAlign w:val="center"/>
          </w:tcPr>
          <w:p w14:paraId="3B9DB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5" w:type="dxa"/>
            <w:noWrap w:val="0"/>
            <w:vAlign w:val="center"/>
          </w:tcPr>
          <w:p w14:paraId="069A3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noWrap w:val="0"/>
            <w:vAlign w:val="center"/>
          </w:tcPr>
          <w:p w14:paraId="798CA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0" w:type="dxa"/>
            <w:noWrap w:val="0"/>
            <w:vAlign w:val="center"/>
          </w:tcPr>
          <w:p w14:paraId="155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36484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14:paraId="2C0127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firstLine="0" w:firstLineChars="0"/>
        <w:textAlignment w:val="auto"/>
        <w:rPr>
          <w:rFonts w:hint="eastAsia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注：1.选题方向包括：立德树人、专业建设、三教改革、育人模式、管理创新、校企合作、育训并举、质量评价、综合改革、教师培养。</w:t>
      </w:r>
    </w:p>
    <w:p w14:paraId="3212D6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firstLine="42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2.研究分类：文化课、专业课或其他。不以具体学科或专业为载体的综合性研究填其他。</w:t>
      </w:r>
    </w:p>
    <w:p w14:paraId="63C269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599" w:leftChars="190" w:hanging="200" w:hangingChars="1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学科（专业大类）：若研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究分类是文化课，则填：思想政治、语文、数学、外语、历史、信息技术、艺术、体育与健康、物理、化学、其他。若研</w:t>
      </w:r>
    </w:p>
    <w:p w14:paraId="1CB76E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609" w:leftChars="190" w:hanging="210" w:hangingChars="1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究分类是专业课，则填：农林牧渔、资源环境与安全、能源动力与材料、土木建筑、水利、装备制造、生物与化工、轻工纺织、食品药品与粮食、交</w:t>
      </w:r>
    </w:p>
    <w:p w14:paraId="4CC013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609" w:leftChars="190" w:hanging="210" w:hangingChars="1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通运输、电子与信息、医药卫生、财经商贸、旅游、文化艺术、新闻传播、教育与体育、公安与司法、公共管理与服务。若研究分类不以具体学科或</w:t>
      </w:r>
    </w:p>
    <w:p w14:paraId="42731C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609" w:leftChars="190" w:hanging="210" w:hangingChars="1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专业为载体的综合性研究，则填“无”。</w:t>
      </w:r>
    </w:p>
    <w:p w14:paraId="394EB1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609" w:leftChars="190" w:hanging="210" w:hangingChars="1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21"/>
          <w:szCs w:val="21"/>
          <w:lang w:val="en-US" w:eastAsia="zh-CN" w:bidi="ar-SA"/>
        </w:rPr>
        <w:t>4.本表同时报送Excel电子版至fjjyedu@126.com。</w:t>
      </w:r>
    </w:p>
    <w:p w14:paraId="05C7A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default" w:ascii="仿宋_GB2312" w:hAnsi="仿宋_GB2312" w:eastAsia="仿宋_GB2312" w:cs="仿宋_GB2312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联系人：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none"/>
          <w:lang w:val="en-US" w:eastAsia="zh-CN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u w:val="none"/>
          <w:lang w:val="en-US" w:eastAsia="zh-CN"/>
        </w:rPr>
        <w:t>电子邮箱：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277700D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A7C23"/>
    <w:rsid w:val="464E704D"/>
    <w:rsid w:val="6CDA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paragraph" w:styleId="3">
    <w:name w:val="Body Text"/>
    <w:basedOn w:val="1"/>
    <w:next w:val="1"/>
    <w:qFormat/>
    <w:uiPriority w:val="99"/>
    <w:pPr>
      <w:spacing w:after="120" w:afterAutospacing="0"/>
      <w:jc w:val="left"/>
    </w:pPr>
    <w:rPr>
      <w:rFonts w:ascii="Times New Roman" w:hAnsi="Times New Roman" w:eastAsia="仿宋_GB2312" w:cs="宋体"/>
      <w:sz w:val="32"/>
    </w:rPr>
  </w:style>
  <w:style w:type="paragraph" w:styleId="4">
    <w:name w:val="Plain Text"/>
    <w:basedOn w:val="1"/>
    <w:qFormat/>
    <w:uiPriority w:val="0"/>
    <w:rPr>
      <w:rFonts w:ascii="宋体" w:hAnsi="Courier New" w:eastAsia="宋体" w:cs="Times New Roman"/>
      <w:sz w:val="20"/>
      <w:szCs w:val="21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paragraph" w:customStyle="1" w:styleId="11">
    <w:name w:val=" Char Char2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2025-04-21T06:23:00Z</dcterms:created>
  <dc:creator>Administrator</dc:creator>
  <cp:lastModifiedBy>Administrator</cp:lastModifiedBy>
  <dcterms:modified xsi:type="dcterms:W3CDTF">2025-04-21T06:24:26Z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EF5FA2118C9E4F59A19AC710137A7D70_11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