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1AC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附件</w:t>
      </w:r>
    </w:p>
    <w:p w14:paraId="19B7A5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2"/>
          <w:szCs w:val="22"/>
          <w:u w:val="none"/>
        </w:rPr>
      </w:pPr>
    </w:p>
    <w:p w14:paraId="090D3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2"/>
          <w:szCs w:val="22"/>
          <w:u w:val="none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32"/>
          <w:szCs w:val="32"/>
          <w:u w:val="none"/>
          <w:bdr w:val="none" w:color="auto" w:sz="0" w:space="0"/>
          <w:shd w:val="clear" w:fill="FFFFFF"/>
        </w:rPr>
        <w:t>2024年</w:t>
      </w:r>
      <w:bookmarkStart w:id="0" w:name="_GoBack"/>
      <w:bookmarkEnd w:id="0"/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32"/>
          <w:szCs w:val="32"/>
          <w:u w:val="none"/>
          <w:bdr w:val="none" w:color="auto" w:sz="0" w:space="0"/>
          <w:shd w:val="clear" w:fill="FFFFFF"/>
        </w:rPr>
        <w:t>度泉州市创新战略研究计划项目申报指南</w:t>
      </w:r>
    </w:p>
    <w:p w14:paraId="3972D4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2"/>
          <w:szCs w:val="22"/>
          <w:u w:val="none"/>
        </w:rPr>
      </w:pPr>
    </w:p>
    <w:p w14:paraId="678272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一、项目名称</w:t>
      </w:r>
    </w:p>
    <w:p w14:paraId="648BBC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泉州市“十五五”科技创新发展专项规划研究</w:t>
      </w:r>
    </w:p>
    <w:p w14:paraId="1650E6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二、指南代码</w:t>
      </w:r>
    </w:p>
    <w:p w14:paraId="6CDF71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指南代码：2024QZZR01</w:t>
      </w:r>
    </w:p>
    <w:p w14:paraId="082BAA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三、研究内容</w:t>
      </w:r>
    </w:p>
    <w:p w14:paraId="36E4E4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研究内容应包括泉州市“十五五”科技创新发展专项规划前期研究以及规划编制任务。</w:t>
      </w:r>
    </w:p>
    <w:p w14:paraId="280FB0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（一）前期研究包括但不限于总结分析泉州市科技创新的现状及存在问题、泉州市科技创新发展的内外环境，分析研判国内外宏观形势对泉州市“十五五”科技创新发展的重要影响。</w:t>
      </w:r>
    </w:p>
    <w:p w14:paraId="63D4D1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（二）泉州市“十五五”科技创新发展专项规划的编制应结合泉州市科技创新发展基础，全面分析面临的内外环境、机遇与挑战，提出泉州市“十五五”科技创新发展的具体目标；明确提出推动泉州市科技创新高质量发展的基本思路、重要任务和具体措施；瞄准泉州市科技创新发展的痛点、难点和堵点，系统梳理泉州市科技创新的在建项目和入库项目，在此基础上高水平谋划科技创新发展的重大项目等。</w:t>
      </w:r>
    </w:p>
    <w:p w14:paraId="63CFED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（三）研究成果包括《泉州市“十五五”科技创新发展专项规划》（以规划正式发布稿为验收主要依据）以及相关研究总结报告、创新资源清单等，国内外先进团队和科研平台分布等技术性文件。</w:t>
      </w:r>
    </w:p>
    <w:p w14:paraId="7B662C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四、资助说明</w:t>
      </w:r>
    </w:p>
    <w:p w14:paraId="5D9A18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立项资助计划1项，给予最高80万元经费补助，采取分阶段拨付方式，项目立项后拨付50%，其余50%待项目验收通过后拨付。</w:t>
      </w:r>
    </w:p>
    <w:p w14:paraId="798F0D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五、组织管理</w:t>
      </w:r>
    </w:p>
    <w:p w14:paraId="355FFE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88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A63BA"/>
          <w:spacing w:val="30"/>
          <w:sz w:val="24"/>
          <w:szCs w:val="24"/>
          <w:u w:val="none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8"/>
          <w:szCs w:val="28"/>
          <w:u w:val="none"/>
          <w:bdr w:val="none" w:color="auto" w:sz="0" w:space="0"/>
          <w:shd w:val="clear" w:fill="FFFFFF"/>
        </w:rPr>
        <w:t>市科技局综合科负责课题组织，课题承担单位负责具体研究、成果集成工作。</w:t>
      </w:r>
    </w:p>
    <w:p w14:paraId="5172864C"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GX1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HGHT2_CNKI">
    <w:panose1 w:val="02000500000000000000"/>
    <w:charset w:val="86"/>
    <w:family w:val="auto"/>
    <w:pitch w:val="default"/>
    <w:sig w:usb0="00000001" w:usb1="08010000" w:usb2="00000000" w:usb3="00000000" w:csb0="00040001" w:csb1="00000000"/>
  </w:font>
  <w:font w:name="汉仪晓波折纸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GYT2_CNKI">
    <w:panose1 w:val="02000500000000000000"/>
    <w:charset w:val="86"/>
    <w:family w:val="auto"/>
    <w:pitch w:val="default"/>
    <w:sig w:usb0="80000023" w:usb1="18010000" w:usb2="00000010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00000000"/>
    <w:rsid w:val="464E704D"/>
    <w:rsid w:val="68C0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2023-12-07T01:24:00Z</dcterms:created>
  <dc:creator>Administrator</dc:creator>
  <cp:lastModifiedBy>章鱼哥</cp:lastModifiedBy>
  <dcterms:modified xsi:type="dcterms:W3CDTF">2024-08-20T01:08:00Z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71904B25E8EA498E852DCFD7C9BBDEBC_12</vt:lpwstr>
  </property>
</Properties>
</file>